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B6" w:rsidRDefault="00450CB6" w:rsidP="00450CB6">
      <w:pPr>
        <w:pStyle w:val="a4"/>
        <w:rPr>
          <w:b/>
          <w:sz w:val="23"/>
          <w:szCs w:val="23"/>
        </w:rPr>
      </w:pPr>
      <w:r>
        <w:rPr>
          <w:b/>
          <w:sz w:val="23"/>
          <w:szCs w:val="23"/>
        </w:rPr>
        <w:t>ПОЯСНИТЕЛЬНАЯ ЗАПИСКА</w:t>
      </w:r>
    </w:p>
    <w:p w:rsidR="00450CB6" w:rsidRDefault="00450CB6" w:rsidP="00450CB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 проекту бюджета  муниципального образования</w:t>
      </w:r>
    </w:p>
    <w:p w:rsidR="00450CB6" w:rsidRDefault="00450CB6" w:rsidP="00450CB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Дальний сельсовет Рубцовского района Алтайского края на 2022</w:t>
      </w:r>
    </w:p>
    <w:p w:rsidR="00450CB6" w:rsidRDefault="00450CB6" w:rsidP="00450CB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год.</w:t>
      </w:r>
    </w:p>
    <w:p w:rsidR="00450CB6" w:rsidRDefault="00450CB6" w:rsidP="00450CB6">
      <w:pPr>
        <w:pStyle w:val="1"/>
        <w:jc w:val="both"/>
        <w:rPr>
          <w:b/>
          <w:sz w:val="23"/>
          <w:szCs w:val="23"/>
        </w:rPr>
      </w:pPr>
    </w:p>
    <w:p w:rsidR="00450CB6" w:rsidRDefault="00450CB6" w:rsidP="00450CB6">
      <w:pPr>
        <w:pStyle w:val="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Доходы  бюджета поселения</w:t>
      </w:r>
    </w:p>
    <w:p w:rsidR="00450CB6" w:rsidRDefault="00450CB6" w:rsidP="00450CB6">
      <w:pPr>
        <w:shd w:val="clear" w:color="auto" w:fill="FFFFFF"/>
        <w:spacing w:line="307" w:lineRule="exact"/>
        <w:ind w:left="38" w:right="67" w:firstLine="68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доходной базы бюджета поселения на 2022 год осуществлялось на основе основных направлений налоговой и бюджетной политики на 2022 год, оценки поступлений доходов в бюджет поселения в 2021 году. </w:t>
      </w:r>
      <w:r>
        <w:rPr>
          <w:spacing w:val="-2"/>
          <w:sz w:val="23"/>
          <w:szCs w:val="23"/>
        </w:rPr>
        <w:t xml:space="preserve">При формировании проекта бюджета учитывались требования бюджетного, налогового </w:t>
      </w:r>
      <w:r>
        <w:rPr>
          <w:sz w:val="23"/>
          <w:szCs w:val="23"/>
        </w:rPr>
        <w:t xml:space="preserve">законодательства, действующих на момент составления проекта бюджета, </w:t>
      </w:r>
      <w:r>
        <w:rPr>
          <w:spacing w:val="-5"/>
          <w:sz w:val="23"/>
          <w:szCs w:val="23"/>
        </w:rPr>
        <w:t xml:space="preserve">а также изменения и дополнения в законодательство Российской </w:t>
      </w:r>
      <w:r>
        <w:rPr>
          <w:sz w:val="23"/>
          <w:szCs w:val="23"/>
        </w:rPr>
        <w:t>Федерации, Алтайского края, нормативно-правовые акты Рубцовского района и Дальнего сельского Собрания депутатов о налогах и сборах, вступающие в действие с 2022 года.</w:t>
      </w:r>
    </w:p>
    <w:p w:rsidR="00450CB6" w:rsidRDefault="00450CB6" w:rsidP="00450CB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Общий объем  доходов бюджета поселения запланирован на 2022 год  в сумме  5140,0 тыс. рублей.</w:t>
      </w:r>
    </w:p>
    <w:p w:rsidR="00450CB6" w:rsidRDefault="00450CB6" w:rsidP="00450CB6">
      <w:pPr>
        <w:shd w:val="clear" w:color="auto" w:fill="FFFFFF"/>
        <w:spacing w:line="307" w:lineRule="exact"/>
        <w:ind w:left="77" w:right="5" w:firstLine="691"/>
        <w:jc w:val="both"/>
        <w:rPr>
          <w:sz w:val="23"/>
          <w:szCs w:val="23"/>
        </w:rPr>
      </w:pPr>
      <w:r>
        <w:rPr>
          <w:sz w:val="23"/>
          <w:szCs w:val="23"/>
        </w:rPr>
        <w:t>Объем поступлений собственных доходов бюджета поселения  прогнозируется</w:t>
      </w:r>
      <w:r>
        <w:rPr>
          <w:spacing w:val="-4"/>
          <w:sz w:val="23"/>
          <w:szCs w:val="23"/>
        </w:rPr>
        <w:t xml:space="preserve"> в размере 161,0 тыс. рублей. В структуре доходов бюджета </w:t>
      </w:r>
      <w:r>
        <w:rPr>
          <w:sz w:val="23"/>
          <w:szCs w:val="23"/>
        </w:rPr>
        <w:t>поселения предусмотрены налоговые доходы в сумме 161,0 тыс. рублей. Объем поступлений межбюджетных трансфертов прогнозируется в сумме 4979,0 тыс. рублей, в том числе субвенций на осуществление отдельных государственных полномочий 82,0 тыс. руб.</w:t>
      </w:r>
    </w:p>
    <w:p w:rsidR="00450CB6" w:rsidRDefault="00450CB6" w:rsidP="00450CB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Основными источниками формирования собственных доходов бюджета поселения являются: налог на доходы физических лиц, налоги на имущество физических лиц, земельный налог.</w:t>
      </w:r>
    </w:p>
    <w:p w:rsidR="00450CB6" w:rsidRDefault="00450CB6" w:rsidP="00450CB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Сумма налога на доходы физических лиц определена исходя из прогнозируемого объема фонда оплаты труда, численности занятого населения и реальной оценки поступлений налога на доходы физических лиц от прочих доходов.</w:t>
      </w:r>
    </w:p>
    <w:p w:rsidR="00450CB6" w:rsidRDefault="00450CB6" w:rsidP="00450CB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Сумма налога на доходы физических лиц при нормативе отчислений 2 процента в бюджет поселения прогнозируется в размере 43,0 тыс. рублей.</w:t>
      </w:r>
    </w:p>
    <w:p w:rsidR="00450CB6" w:rsidRDefault="00450CB6" w:rsidP="00450CB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Кроме того,  в налоговых доходах бюджета поселения предусмотрены: налоги на имущество в части налога на имущество физ. лиц в сумме 39,0 тыс. руб. и земельного налога с физических лиц – 77,0 тыс. рублей. </w:t>
      </w:r>
    </w:p>
    <w:p w:rsidR="00450CB6" w:rsidRDefault="00450CB6" w:rsidP="00450CB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Поступления в счет межбюджетных трансфертов формируются: за счет дотации на выравнивание бюджетной обеспеченности бюджета поселения из средств районного бюджета в бюджет поселений, в сумме 624,3 тыс. рублей;  за счет межбюджетных трансферты бюджетам </w:t>
      </w:r>
      <w:r>
        <w:rPr>
          <w:color w:val="000000"/>
          <w:sz w:val="23"/>
          <w:szCs w:val="23"/>
        </w:rPr>
        <w:t>поселений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 xml:space="preserve">на решение вопросов местного значения в соответствии с заключенными соглашениями, в сумме – 811,0 тыс. рублей; за счет прочих межбюджетных трансфертов – 3461,7 тыс. рублей; </w:t>
      </w:r>
      <w:r>
        <w:rPr>
          <w:sz w:val="23"/>
          <w:szCs w:val="23"/>
        </w:rPr>
        <w:t>за счет субвенций из краевого бюджета на осуществление принятых государственных полномочий, в сумме 82,0 тыс. рублей, в том числе:</w:t>
      </w:r>
    </w:p>
    <w:p w:rsidR="00450CB6" w:rsidRDefault="00450CB6" w:rsidP="00450CB6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На осуществление полномочий по первичному воинскому учету – 82,0 тыс. рублей.</w:t>
      </w:r>
    </w:p>
    <w:p w:rsidR="00450CB6" w:rsidRDefault="00450CB6" w:rsidP="00450CB6">
      <w:pPr>
        <w:pStyle w:val="1"/>
        <w:jc w:val="both"/>
        <w:rPr>
          <w:b/>
          <w:sz w:val="23"/>
          <w:szCs w:val="23"/>
        </w:rPr>
      </w:pPr>
    </w:p>
    <w:p w:rsidR="00450CB6" w:rsidRDefault="00450CB6" w:rsidP="00450CB6">
      <w:pPr>
        <w:pStyle w:val="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Расходы бюджета поселения</w:t>
      </w:r>
    </w:p>
    <w:p w:rsidR="00450CB6" w:rsidRDefault="00450CB6" w:rsidP="00450CB6">
      <w:pPr>
        <w:pStyle w:val="a6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  <w:t>Формирование расходов бюджета поселения на 2022 год осуществлялось на основе действующего законодательства Российской Федерации, Алтайского края, Рубцовского района, нормативных правовых актов органа местного самоуправления с учетом разграничений расходных полномочий в соответствии с Федеральным законом от 06.10.03г. № 131-ФЗ «Об общих принципах организации местного самоуправления в Российской Федерации»</w:t>
      </w:r>
    </w:p>
    <w:p w:rsidR="00450CB6" w:rsidRDefault="00450CB6" w:rsidP="00450CB6">
      <w:pPr>
        <w:pStyle w:val="a6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  <w:t>К числу приоритетных задач на стадии формирования бюджета поселения были отнесены:</w:t>
      </w:r>
    </w:p>
    <w:p w:rsidR="00450CB6" w:rsidRDefault="00450CB6" w:rsidP="00450CB6">
      <w:pPr>
        <w:pStyle w:val="a6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оплата труда (</w:t>
      </w:r>
      <w:r>
        <w:rPr>
          <w:rFonts w:cs="Arial"/>
        </w:rPr>
        <w:t>с учетом начислений на обязательное социальное страхование</w:t>
      </w:r>
      <w:r>
        <w:rPr>
          <w:sz w:val="23"/>
          <w:szCs w:val="23"/>
        </w:rPr>
        <w:t xml:space="preserve">) </w:t>
      </w:r>
    </w:p>
    <w:p w:rsidR="00450CB6" w:rsidRDefault="00450CB6" w:rsidP="00450CB6">
      <w:pPr>
        <w:numPr>
          <w:ilvl w:val="0"/>
          <w:numId w:val="2"/>
        </w:numPr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оплата услуг связи</w:t>
      </w:r>
    </w:p>
    <w:p w:rsidR="00450CB6" w:rsidRDefault="00450CB6" w:rsidP="00450CB6">
      <w:pPr>
        <w:numPr>
          <w:ilvl w:val="0"/>
          <w:numId w:val="2"/>
        </w:numPr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оплата коммунальных услуг (согласно  заключенным договорам на тепло, электроснабжение)</w:t>
      </w:r>
    </w:p>
    <w:p w:rsidR="00450CB6" w:rsidRDefault="00450CB6" w:rsidP="00450CB6">
      <w:pPr>
        <w:pStyle w:val="a6"/>
        <w:spacing w:after="0"/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   финансовое обеспечение перечня делегированных полномочий (</w:t>
      </w:r>
      <w:r>
        <w:rPr>
          <w:color w:val="000000"/>
          <w:sz w:val="23"/>
          <w:szCs w:val="23"/>
        </w:rPr>
        <w:t>на функционирование административных комиссий при местных администрациях, на осуществление полномочий по первичному воинскому учету на территориях, где отсутствуют военные комиссариаты</w:t>
      </w:r>
      <w:r>
        <w:rPr>
          <w:sz w:val="23"/>
          <w:szCs w:val="23"/>
        </w:rPr>
        <w:t>).</w:t>
      </w:r>
    </w:p>
    <w:p w:rsidR="00450CB6" w:rsidRDefault="00450CB6" w:rsidP="00450CB6">
      <w:pPr>
        <w:pStyle w:val="a6"/>
        <w:spacing w:after="0"/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- финансовое обеспечение прочих расходных обязательств поселения с учетом реалистичного прогноза поступления доходов в бюджет поселения</w:t>
      </w:r>
    </w:p>
    <w:p w:rsidR="00450CB6" w:rsidRDefault="00450CB6" w:rsidP="00450CB6">
      <w:pPr>
        <w:pStyle w:val="a6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Объем расходов бюджета поселения на 2022 год определен в сумме 5140,0 тыс. рублей. </w:t>
      </w:r>
    </w:p>
    <w:p w:rsidR="00450CB6" w:rsidRDefault="00450CB6" w:rsidP="00450CB6">
      <w:pPr>
        <w:ind w:right="-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При формировании расходов  бюджета поселения  на 2022 год применялись следующие общие подходы:</w:t>
      </w:r>
    </w:p>
    <w:p w:rsidR="00450CB6" w:rsidRDefault="00450CB6" w:rsidP="00450CB6">
      <w:pPr>
        <w:numPr>
          <w:ilvl w:val="0"/>
          <w:numId w:val="3"/>
        </w:numPr>
        <w:tabs>
          <w:tab w:val="num" w:pos="0"/>
        </w:tabs>
        <w:spacing w:line="228" w:lineRule="auto"/>
        <w:ind w:left="0" w:firstLine="1069"/>
        <w:jc w:val="both"/>
        <w:rPr>
          <w:sz w:val="23"/>
          <w:szCs w:val="23"/>
        </w:rPr>
      </w:pPr>
      <w:r>
        <w:rPr>
          <w:sz w:val="23"/>
          <w:szCs w:val="23"/>
        </w:rPr>
        <w:t>объемы бюджетных ассигнований на оплату труда работников муниципальных учреждений и на выплату денежного содержания муниципальных служащих определяются на уровне 2021г.;</w:t>
      </w:r>
    </w:p>
    <w:p w:rsidR="00450CB6" w:rsidRDefault="00450CB6" w:rsidP="00450CB6">
      <w:pPr>
        <w:numPr>
          <w:ilvl w:val="0"/>
          <w:numId w:val="3"/>
        </w:numPr>
        <w:tabs>
          <w:tab w:val="num" w:pos="0"/>
        </w:tabs>
        <w:spacing w:line="228" w:lineRule="auto"/>
        <w:ind w:left="0" w:firstLine="1069"/>
        <w:jc w:val="both"/>
        <w:rPr>
          <w:sz w:val="23"/>
          <w:szCs w:val="23"/>
        </w:rPr>
      </w:pPr>
      <w:r>
        <w:rPr>
          <w:sz w:val="23"/>
          <w:szCs w:val="23"/>
        </w:rPr>
        <w:t>при расчете страховых взносов на обязательное социальное страхование учитывается сохранение в 2022 году тарифов страховых взносов на обязательное социальное страхование в размере 30 процентов от фонда оплаты труда, тарифов страховых взносов на обязательное страхование от несчастных случаев на производстве и профессиональных заболеваний в размере 0,2 процента от фонда оплаты труда.</w:t>
      </w:r>
    </w:p>
    <w:p w:rsidR="00450CB6" w:rsidRDefault="00450CB6" w:rsidP="00450CB6">
      <w:pPr>
        <w:numPr>
          <w:ilvl w:val="0"/>
          <w:numId w:val="4"/>
        </w:numPr>
        <w:tabs>
          <w:tab w:val="num" w:pos="0"/>
        </w:tabs>
        <w:spacing w:line="228" w:lineRule="auto"/>
        <w:ind w:left="0" w:firstLine="1069"/>
        <w:jc w:val="both"/>
        <w:rPr>
          <w:sz w:val="23"/>
          <w:szCs w:val="23"/>
        </w:rPr>
      </w:pPr>
      <w:r>
        <w:rPr>
          <w:sz w:val="23"/>
          <w:szCs w:val="23"/>
        </w:rPr>
        <w:t>другие расходы определены на уровне 2021 года.</w:t>
      </w:r>
    </w:p>
    <w:p w:rsidR="00450CB6" w:rsidRDefault="00450CB6" w:rsidP="00450CB6">
      <w:pPr>
        <w:numPr>
          <w:ilvl w:val="0"/>
          <w:numId w:val="4"/>
        </w:numPr>
        <w:tabs>
          <w:tab w:val="num" w:pos="0"/>
        </w:tabs>
        <w:spacing w:line="228" w:lineRule="auto"/>
        <w:ind w:left="0" w:firstLine="1069"/>
        <w:jc w:val="both"/>
        <w:rPr>
          <w:sz w:val="23"/>
          <w:szCs w:val="23"/>
        </w:rPr>
      </w:pPr>
      <w:r>
        <w:rPr>
          <w:sz w:val="23"/>
          <w:szCs w:val="23"/>
        </w:rPr>
        <w:t>расходы на содержание органов местного самоуправления сформированы с учетом требований к нормативам их формирования,  согласно постановлению Администрации Алтайского края.</w:t>
      </w:r>
    </w:p>
    <w:p w:rsidR="00450CB6" w:rsidRDefault="00450CB6" w:rsidP="00450CB6">
      <w:pPr>
        <w:pStyle w:val="a6"/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Раздел 0100 «Общегосударственные вопросы»</w:t>
      </w:r>
    </w:p>
    <w:p w:rsidR="00450CB6" w:rsidRDefault="00450CB6" w:rsidP="00450CB6">
      <w:pPr>
        <w:pStyle w:val="a6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содержание органов местного самоуправления определен в соответствии со структурой органов местного самоуправления.</w:t>
      </w:r>
    </w:p>
    <w:p w:rsidR="00450CB6" w:rsidRDefault="00450CB6" w:rsidP="00450CB6">
      <w:pPr>
        <w:pStyle w:val="a6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По подразделу </w:t>
      </w:r>
      <w:r>
        <w:rPr>
          <w:b/>
          <w:sz w:val="23"/>
          <w:szCs w:val="23"/>
        </w:rPr>
        <w:t>0102 «Функционирование высшего должностного лица  субъекта РФ и муниципального образования»</w:t>
      </w:r>
      <w:r>
        <w:rPr>
          <w:sz w:val="23"/>
          <w:szCs w:val="23"/>
        </w:rPr>
        <w:t xml:space="preserve"> запланированы бюджетные ассигнования  в сумме  - 435,7 тыс. рублей на оплату труда действующего главы сельсовета.</w:t>
      </w:r>
      <w:r>
        <w:rPr>
          <w:sz w:val="23"/>
          <w:szCs w:val="23"/>
        </w:rPr>
        <w:tab/>
      </w:r>
    </w:p>
    <w:p w:rsidR="00450CB6" w:rsidRDefault="00450CB6" w:rsidP="00450CB6">
      <w:pPr>
        <w:pStyle w:val="a6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По подразделу </w:t>
      </w:r>
      <w:r>
        <w:rPr>
          <w:b/>
          <w:sz w:val="23"/>
          <w:szCs w:val="23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sz w:val="23"/>
          <w:szCs w:val="23"/>
        </w:rPr>
        <w:t xml:space="preserve"> предусмотрены расходы на функционирование  администрации сельсовета в сумме 292,2 тыс. руб.,</w:t>
      </w:r>
    </w:p>
    <w:p w:rsidR="00450CB6" w:rsidRDefault="00450CB6" w:rsidP="00450CB6">
      <w:pPr>
        <w:pStyle w:val="a6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По подразделу </w:t>
      </w:r>
      <w:r>
        <w:rPr>
          <w:b/>
          <w:sz w:val="23"/>
          <w:szCs w:val="23"/>
        </w:rPr>
        <w:t>0107 «Обеспечение и проведение выборов и референдумов»</w:t>
      </w:r>
      <w:r>
        <w:rPr>
          <w:sz w:val="23"/>
          <w:szCs w:val="23"/>
        </w:rPr>
        <w:t xml:space="preserve"> предусмотрены расходы на проведение выборов в представительные органы муниципального образования в сумме 12,0 тыс. руб. и на проведение выборов главы муниципального образования в сумме 12,0 тыс. руб.,</w:t>
      </w:r>
    </w:p>
    <w:p w:rsidR="00450CB6" w:rsidRDefault="00450CB6" w:rsidP="00450CB6">
      <w:pPr>
        <w:pStyle w:val="a6"/>
        <w:spacing w:after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подразделу </w:t>
      </w:r>
      <w:r>
        <w:rPr>
          <w:b/>
          <w:sz w:val="23"/>
          <w:szCs w:val="23"/>
        </w:rPr>
        <w:t xml:space="preserve">0111 «Резервные фонды» </w:t>
      </w:r>
      <w:r>
        <w:rPr>
          <w:sz w:val="23"/>
          <w:szCs w:val="23"/>
        </w:rPr>
        <w:t>объем расходов предусмотрен в сумме 6,0 тыс.руб.</w:t>
      </w:r>
    </w:p>
    <w:p w:rsidR="00450CB6" w:rsidRDefault="00450CB6" w:rsidP="00450CB6">
      <w:pPr>
        <w:pStyle w:val="a6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sz w:val="23"/>
          <w:szCs w:val="23"/>
        </w:rPr>
        <w:tab/>
        <w:t xml:space="preserve">По подразделу </w:t>
      </w:r>
      <w:r>
        <w:rPr>
          <w:b/>
          <w:sz w:val="23"/>
          <w:szCs w:val="23"/>
        </w:rPr>
        <w:t>0113 «Другие общегосударственные вопросы»</w:t>
      </w:r>
      <w:r>
        <w:rPr>
          <w:sz w:val="23"/>
          <w:szCs w:val="23"/>
        </w:rPr>
        <w:t xml:space="preserve"> отражены расходы на обеспечение деятельности подведомственных учреждений в сумме 815,5 тыс. руб.</w:t>
      </w:r>
    </w:p>
    <w:p w:rsidR="00450CB6" w:rsidRDefault="00450CB6" w:rsidP="00450CB6">
      <w:pPr>
        <w:pStyle w:val="a6"/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Раздел 0200 «Национальная оборона»</w:t>
      </w:r>
    </w:p>
    <w:p w:rsidR="00450CB6" w:rsidRDefault="00450CB6" w:rsidP="00450CB6">
      <w:pPr>
        <w:pStyle w:val="a6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По подразделу </w:t>
      </w:r>
      <w:r>
        <w:rPr>
          <w:b/>
          <w:sz w:val="23"/>
          <w:szCs w:val="23"/>
        </w:rPr>
        <w:t>0203 «Мобилизационная и вневойсковая подготовка</w:t>
      </w:r>
      <w:r>
        <w:rPr>
          <w:sz w:val="23"/>
          <w:szCs w:val="23"/>
        </w:rPr>
        <w:t>» предусмотрены расходы на осуществление полномочий  по воинскому учету на территориях, где отсутствуют военные комиссариаты в сумме 82,0 тыс. рублей.</w:t>
      </w:r>
    </w:p>
    <w:p w:rsidR="00450CB6" w:rsidRDefault="00450CB6" w:rsidP="00450CB6">
      <w:pPr>
        <w:pStyle w:val="a6"/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Раздел 0300 «Национальная безопасность и правоохранительная деятельность»</w:t>
      </w:r>
    </w:p>
    <w:p w:rsidR="00450CB6" w:rsidRDefault="00450CB6" w:rsidP="00450CB6">
      <w:pPr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подразделу </w:t>
      </w:r>
      <w:r>
        <w:rPr>
          <w:b/>
          <w:sz w:val="23"/>
          <w:szCs w:val="23"/>
        </w:rPr>
        <w:t>0310 «Защита населения и территории от последствий чрезвычайных ситуаций природного и техногенного характера, пожарная безопасность</w:t>
      </w:r>
      <w:r>
        <w:rPr>
          <w:sz w:val="23"/>
          <w:szCs w:val="23"/>
        </w:rPr>
        <w:t>» » предусмотрены расходы на мероприятия по предупреждению ЧС, стихийных бедствий - 2,0 тыс. руб.; расходы на мероприятия по противопожарной безопасности - 10,0 тыс. руб.</w:t>
      </w:r>
    </w:p>
    <w:p w:rsidR="00450CB6" w:rsidRDefault="00450CB6" w:rsidP="00450CB6">
      <w:pPr>
        <w:pStyle w:val="a6"/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Раздел 0400 «Национальная экономика»</w:t>
      </w:r>
    </w:p>
    <w:p w:rsidR="00450CB6" w:rsidRDefault="00450CB6" w:rsidP="00450CB6">
      <w:pPr>
        <w:pStyle w:val="a6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По подразделу </w:t>
      </w:r>
      <w:r>
        <w:rPr>
          <w:b/>
          <w:sz w:val="23"/>
          <w:szCs w:val="23"/>
        </w:rPr>
        <w:t>0409 «Дорожная деятельность. Дорожные фонды»</w:t>
      </w:r>
      <w:r>
        <w:rPr>
          <w:sz w:val="23"/>
          <w:szCs w:val="23"/>
        </w:rPr>
        <w:t xml:space="preserve"> предусмотрены расходы на проведение мероприятий по развитию улично-дорожной сети в границах поселения в том числе очистка дорог от снега в зимний период, грейдеровка дорог, установка дорожных знаков в сумме 606,00 тыс. руб.</w:t>
      </w:r>
    </w:p>
    <w:p w:rsidR="00450CB6" w:rsidRDefault="00450CB6" w:rsidP="00450CB6">
      <w:pPr>
        <w:pStyle w:val="a6"/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Раздел 0500 «Жилищно-коммунальное хозяйство»</w:t>
      </w:r>
    </w:p>
    <w:p w:rsidR="00450CB6" w:rsidRDefault="00450CB6" w:rsidP="00450CB6">
      <w:pPr>
        <w:pStyle w:val="a6"/>
        <w:spacing w:after="0"/>
        <w:jc w:val="both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sz w:val="23"/>
          <w:szCs w:val="23"/>
        </w:rPr>
        <w:t xml:space="preserve">По подразделу </w:t>
      </w:r>
      <w:r>
        <w:rPr>
          <w:b/>
          <w:sz w:val="23"/>
          <w:szCs w:val="23"/>
        </w:rPr>
        <w:t xml:space="preserve">0501 «Жилищное хозяйство» </w:t>
      </w:r>
      <w:r>
        <w:rPr>
          <w:sz w:val="23"/>
          <w:szCs w:val="23"/>
        </w:rPr>
        <w:t>предусмотрены расходы на проведение мероприятий в области обеспечения жильем молодых семей в Рубцовском районе в сумме 1,0 тыс. руб.</w:t>
      </w:r>
    </w:p>
    <w:p w:rsidR="00450CB6" w:rsidRDefault="00450CB6" w:rsidP="00450CB6">
      <w:pPr>
        <w:pStyle w:val="a6"/>
        <w:spacing w:after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 подразделу</w:t>
      </w:r>
      <w:r>
        <w:rPr>
          <w:b/>
          <w:sz w:val="23"/>
          <w:szCs w:val="23"/>
        </w:rPr>
        <w:t xml:space="preserve"> 0502 «Коммунальное хозяйство» </w:t>
      </w:r>
      <w:r>
        <w:rPr>
          <w:sz w:val="23"/>
          <w:szCs w:val="23"/>
        </w:rPr>
        <w:t>предусмотрены расходы по финансированию мероприятий в области коммунального хозяйства в сумме – 2695,0 тыс. руб.</w:t>
      </w:r>
    </w:p>
    <w:p w:rsidR="00450CB6" w:rsidRDefault="00450CB6" w:rsidP="00450CB6">
      <w:pPr>
        <w:pStyle w:val="a6"/>
        <w:spacing w:after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 подразделу</w:t>
      </w:r>
      <w:r>
        <w:rPr>
          <w:b/>
          <w:sz w:val="23"/>
          <w:szCs w:val="23"/>
        </w:rPr>
        <w:t xml:space="preserve"> 0503 «Благоустройство» </w:t>
      </w:r>
      <w:r>
        <w:rPr>
          <w:sz w:val="23"/>
          <w:szCs w:val="23"/>
        </w:rPr>
        <w:t xml:space="preserve">предусмотрены расходы на уличное освещение, в сумме -  69,7 тыс. руб., содержание мест захоронения – 1,0 тыс. руб., прочие  - 46,6 тыс. руб., сбор и удаление твердых отходов -  1,0 тыс. руб.  </w:t>
      </w:r>
    </w:p>
    <w:p w:rsidR="00450CB6" w:rsidRDefault="00450CB6" w:rsidP="00450CB6">
      <w:pPr>
        <w:pStyle w:val="a6"/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Раздел 0800«Культура, кинематография»</w:t>
      </w:r>
    </w:p>
    <w:p w:rsidR="00450CB6" w:rsidRDefault="00450CB6" w:rsidP="00450CB6">
      <w:pPr>
        <w:pStyle w:val="a6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По подразделу </w:t>
      </w:r>
      <w:r>
        <w:rPr>
          <w:b/>
          <w:sz w:val="23"/>
          <w:szCs w:val="23"/>
        </w:rPr>
        <w:t>0801 «Культура»</w:t>
      </w:r>
      <w:r>
        <w:rPr>
          <w:sz w:val="23"/>
          <w:szCs w:val="23"/>
        </w:rPr>
        <w:t xml:space="preserve"> предусмотрены расходы в сумме 40,3 тыс. руб. на обеспечение деятельности сельского дома культуры.</w:t>
      </w:r>
    </w:p>
    <w:p w:rsidR="00450CB6" w:rsidRDefault="00450CB6" w:rsidP="00450CB6">
      <w:pPr>
        <w:pStyle w:val="a6"/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Раздел 1000 «Социальная политика»</w:t>
      </w:r>
    </w:p>
    <w:p w:rsidR="00450CB6" w:rsidRDefault="00450CB6" w:rsidP="00450CB6">
      <w:pPr>
        <w:jc w:val="both"/>
        <w:rPr>
          <w:sz w:val="23"/>
          <w:szCs w:val="23"/>
        </w:rPr>
      </w:pPr>
      <w:r>
        <w:tab/>
        <w:t xml:space="preserve">По подразделу </w:t>
      </w:r>
      <w:r>
        <w:rPr>
          <w:b/>
        </w:rPr>
        <w:t xml:space="preserve">1001 «Пенсионное обеспечение» </w:t>
      </w:r>
      <w:r>
        <w:t xml:space="preserve">предусмотрены расходы на доплату к пенсии работникам муниципальной службы в сумме 36,0 тыс. руб. (Основание: Решение Об утверждении Положения «О назначении, выплате и перерасчете пенсии за выслугу лет, лицам, замещавшим  должности муниципальной </w:t>
      </w:r>
      <w:r>
        <w:rPr>
          <w:sz w:val="23"/>
          <w:szCs w:val="23"/>
        </w:rPr>
        <w:t xml:space="preserve">службы, доплаты к пенсии лицам, замещавшим должность Главы сельсовета, главы администрации сельсовета и должности председателя исполнительного комитета сельского Совета народных депутатов в период СССР и РСФСР» №5 от 29.03.2018. Информация размещена в сети Интернет:  </w:t>
      </w:r>
      <w:hyperlink r:id="rId5" w:history="1">
        <w:r>
          <w:rPr>
            <w:rStyle w:val="a3"/>
            <w:sz w:val="23"/>
            <w:szCs w:val="23"/>
          </w:rPr>
          <w:t>http://www.rubradmin.ru/?q=node/12882</w:t>
        </w:r>
      </w:hyperlink>
      <w:r>
        <w:rPr>
          <w:sz w:val="23"/>
          <w:szCs w:val="23"/>
        </w:rPr>
        <w:t xml:space="preserve">; изменения: </w:t>
      </w:r>
      <w:hyperlink r:id="rId6" w:history="1">
        <w:r>
          <w:rPr>
            <w:rStyle w:val="a3"/>
            <w:sz w:val="23"/>
            <w:szCs w:val="23"/>
          </w:rPr>
          <w:t>http://www.rubradmin.ru/?q=node/21207</w:t>
        </w:r>
      </w:hyperlink>
      <w:r>
        <w:rPr>
          <w:sz w:val="23"/>
          <w:szCs w:val="23"/>
        </w:rPr>
        <w:t>.)</w:t>
      </w:r>
    </w:p>
    <w:p w:rsidR="00450CB6" w:rsidRDefault="00450CB6" w:rsidP="00450CB6">
      <w:pPr>
        <w:jc w:val="both"/>
        <w:rPr>
          <w:sz w:val="23"/>
          <w:szCs w:val="23"/>
        </w:rPr>
      </w:pPr>
    </w:p>
    <w:p w:rsidR="0002152B" w:rsidRDefault="0002152B">
      <w:bookmarkStart w:id="0" w:name="_GoBack"/>
      <w:bookmarkEnd w:id="0"/>
    </w:p>
    <w:sectPr w:rsidR="0002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6E7"/>
    <w:multiLevelType w:val="hybridMultilevel"/>
    <w:tmpl w:val="E1B457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E128EE"/>
    <w:multiLevelType w:val="hybridMultilevel"/>
    <w:tmpl w:val="D65ACA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87597B"/>
    <w:multiLevelType w:val="hybridMultilevel"/>
    <w:tmpl w:val="38546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B73F6"/>
    <w:multiLevelType w:val="hybridMultilevel"/>
    <w:tmpl w:val="0AA6E106"/>
    <w:lvl w:ilvl="0" w:tplc="6DF0FD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EC"/>
    <w:rsid w:val="0002152B"/>
    <w:rsid w:val="00450CB6"/>
    <w:rsid w:val="00B8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46243-2087-4CAC-9B5A-B1ABA4A7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CB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CB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450CB6"/>
    <w:rPr>
      <w:color w:val="0000FF"/>
      <w:u w:val="single"/>
    </w:rPr>
  </w:style>
  <w:style w:type="paragraph" w:styleId="a4">
    <w:name w:val="Title"/>
    <w:basedOn w:val="a"/>
    <w:link w:val="a5"/>
    <w:qFormat/>
    <w:rsid w:val="00450CB6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450C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450CB6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50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bradmin.ru/?q=node/21207" TargetMode="External"/><Relationship Id="rId5" Type="http://schemas.openxmlformats.org/officeDocument/2006/relationships/hyperlink" Target="http://www.rubradmin.ru/?q=node/128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7276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2021-11-23T02:43:00Z</dcterms:created>
  <dcterms:modified xsi:type="dcterms:W3CDTF">2021-11-23T02:44:00Z</dcterms:modified>
</cp:coreProperties>
</file>